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426E" w14:textId="77777777" w:rsidR="0052751A" w:rsidRPr="0052751A" w:rsidRDefault="0052751A" w:rsidP="0052751A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i/>
          <w:color w:val="2F5496" w:themeColor="accent1" w:themeShade="BF"/>
          <w:kern w:val="0"/>
          <w:sz w:val="27"/>
          <w:szCs w:val="27"/>
          <w:lang w:val="vi-VN"/>
          <w14:ligatures w14:val="none"/>
        </w:rPr>
      </w:pPr>
      <w:r w:rsidRPr="0052751A">
        <w:rPr>
          <w:rFonts w:ascii="Times New Roman" w:eastAsiaTheme="majorEastAsia" w:hAnsi="Times New Roman" w:cs="Times New Roman"/>
          <w:b/>
          <w:color w:val="2F5496" w:themeColor="accent1" w:themeShade="BF"/>
          <w:kern w:val="0"/>
          <w:sz w:val="27"/>
          <w:szCs w:val="27"/>
          <w:lang w:val="vi-VN"/>
          <w14:ligatures w14:val="none"/>
        </w:rPr>
        <w:t>BÀI 3: TOÀN CẦU HOÁ, KHU VỰC HOÁ KINH TẾ</w:t>
      </w:r>
    </w:p>
    <w:p w14:paraId="1F332C23" w14:textId="77777777" w:rsidR="0052751A" w:rsidRPr="0052751A" w:rsidRDefault="0052751A" w:rsidP="0052751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</w:p>
    <w:p w14:paraId="336597C5" w14:textId="11ED7750" w:rsidR="0052751A" w:rsidRPr="00006AF5" w:rsidRDefault="00006AF5" w:rsidP="00006AF5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vi-VN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vi-VN" w:eastAsia="en-GB"/>
          <w14:ligatures w14:val="none"/>
        </w:rPr>
        <w:t>I. Toàn Cầu Hóa</w:t>
      </w:r>
    </w:p>
    <w:tbl>
      <w:tblPr>
        <w:tblW w:w="108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  <w:gridCol w:w="180"/>
      </w:tblGrid>
      <w:tr w:rsidR="00F4451D" w:rsidRPr="0052751A" w14:paraId="3F3E628B" w14:textId="77777777" w:rsidTr="00AE67FA">
        <w:trPr>
          <w:gridAfter w:val="1"/>
          <w:wAfter w:w="180" w:type="dxa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00C82" w14:textId="54A5C7D2" w:rsidR="00F4451D" w:rsidRPr="00006AF5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1.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Biểu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proofErr w:type="gramEnd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="00006AF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kinh tế</w:t>
            </w:r>
          </w:p>
          <w:p w14:paraId="3A7C9B69" w14:textId="3C024432" w:rsidR="00F4451D" w:rsidRP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a.</w:t>
            </w:r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Thương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</w:p>
          <w:p w14:paraId="5962F039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trưởng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nhanh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luôn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hơn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trưởng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bộ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nền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43A695D2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ngày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hơn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qua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cắt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giảm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dần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tiến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bỏ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rào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phi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đảm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tính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cạnh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bằng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biệt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xử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song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ngày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trở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biến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68CE6E55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diễn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đóng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vai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trò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trọng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(WTO, </w:t>
            </w:r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APEC,..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)</w:t>
            </w:r>
          </w:p>
          <w:p w14:paraId="526B92F0" w14:textId="2AD31987" w:rsidR="00F4451D" w:rsidRP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b.</w:t>
            </w:r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Thị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mở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rộng</w:t>
            </w:r>
            <w:proofErr w:type="spellEnd"/>
          </w:p>
          <w:p w14:paraId="03F0D5C9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lãi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suất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tham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dịch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vụ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biệt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di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chuyển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luồng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vốn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.... </w:t>
            </w:r>
          </w:p>
          <w:p w14:paraId="49463644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lớn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nhau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một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lưới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tài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chính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259CBC07" w14:textId="76E08AB4" w:rsidR="00F4451D" w:rsidRP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c.</w:t>
            </w:r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cường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vai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trò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công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ty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08E60C8C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Số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lượng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mặc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ty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chi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nhánh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ngừng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chiếm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phần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lớn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nền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7C7C0C94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ty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có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ảnh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hưởng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lớn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đến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nhiều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lĩnh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trọng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3DFB9309" w14:textId="22A7F958" w:rsidR="00F4451D" w:rsidRP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d.</w:t>
            </w:r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Gia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số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lượng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tiêu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chuẩn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áp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dụng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006A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</w:p>
          <w:p w14:paraId="7744911D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tiêu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chuẩn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nhất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về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sản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phẩm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quản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lí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cung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cấp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dịch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vụ,ngày</w:t>
            </w:r>
            <w:proofErr w:type="spellEnd"/>
            <w:proofErr w:type="gram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càng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áp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dụng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nhiều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lĩnh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phạm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vi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1C80055E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có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tiêu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chuẩn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hơn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đang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765A9620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Hội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nhập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C3E458F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Liên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tam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</w:p>
          <w:p w14:paraId="4BFF4335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+ Liên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Liên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châu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Âu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(EU)</w:t>
            </w:r>
          </w:p>
          <w:p w14:paraId="1AC2344E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lastRenderedPageBreak/>
              <w:t xml:space="preserve">+ Liên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</w:p>
          <w:p w14:paraId="275D44F7" w14:textId="526191D5" w:rsidR="00F4451D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2</w:t>
            </w:r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quả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và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ảnh hưởng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kinh tế đối với các nước trên thế giới</w:t>
            </w:r>
          </w:p>
          <w:p w14:paraId="3B1A6EAD" w14:textId="76877550" w:rsidR="00006AF5" w:rsidRP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  a.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quả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proofErr w:type="gram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kinh tế</w:t>
            </w:r>
          </w:p>
          <w:p w14:paraId="402B8D26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sản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xuất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trưởng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nhanh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chuyển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dịch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cấu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61D2C757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diễn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nhiều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hội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lưu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học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tập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tiếp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những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khoa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học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kĩ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6E363AF4" w14:textId="77777777" w:rsidR="00F4451D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Tuy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này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làm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giàu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nghèo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;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gìn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sắc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tộc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truyền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  <w:p w14:paraId="6EB445CA" w14:textId="349CD71D" w:rsidR="00006AF5" w:rsidRPr="00006AF5" w:rsidRDefault="00006AF5" w:rsidP="00006A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nh hưởng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đối với các nước trên thế giới</w:t>
            </w:r>
          </w:p>
          <w:p w14:paraId="2D5ED349" w14:textId="77777777" w:rsidR="00006AF5" w:rsidRPr="0052751A" w:rsidRDefault="00006AF5" w:rsidP="00006A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>Cơ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>hội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: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làm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nguồn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như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vốn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tư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khoa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học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–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nghệ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,...</w:t>
            </w:r>
            <w:proofErr w:type="gramEnd"/>
          </w:p>
          <w:p w14:paraId="29DC7542" w14:textId="77777777" w:rsidR="00006AF5" w:rsidRPr="0052751A" w:rsidRDefault="00006AF5" w:rsidP="00006A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>Thách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>thức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i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098B215F" w14:textId="77777777" w:rsidR="00006AF5" w:rsidRPr="0052751A" w:rsidRDefault="00006AF5" w:rsidP="00006A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xây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dựng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hiệu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sản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phẩm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chuyển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đổi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cấu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phù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thể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để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thích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ứng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xu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hướng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hội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nhập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nâng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độ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398BFC6C" w14:textId="77777777" w:rsidR="00006AF5" w:rsidRPr="0052751A" w:rsidRDefault="00006AF5" w:rsidP="00006A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+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vấn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đề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xã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hội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môi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như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chênh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lệch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giàu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nghèo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y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làm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ô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nhiễm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môi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biến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đổi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khí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hậu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,...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trở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mối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quan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tâm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chung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  <w:p w14:paraId="365CD114" w14:textId="5EAF2C7A" w:rsidR="00006AF5" w:rsidRDefault="00006AF5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 w:rsidRPr="00006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II. Khu Vực Hóa Kinh Tế</w:t>
            </w:r>
          </w:p>
          <w:p w14:paraId="69462FF6" w14:textId="66242114" w:rsidR="00F74548" w:rsidRDefault="00F74548" w:rsidP="00F74548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1.</w:t>
            </w:r>
            <w:r w:rsidRPr="00F745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Biểu hiện của khu vực hóa kinh tế</w:t>
            </w:r>
          </w:p>
          <w:p w14:paraId="088A0B2E" w14:textId="7FA9F625" w:rsidR="00AE67FA" w:rsidRDefault="00AE67FA" w:rsidP="00AE67F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r w:rsidRPr="00AE6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a.</w:t>
            </w:r>
            <w:r w:rsidR="00F74548" w:rsidRPr="00AE6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Khái niệm :</w:t>
            </w:r>
            <w:r w:rsidR="00F7454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Những quốc gia có nét tương đồng về địa lý , văn hóa , xã hội hoặc có chung mục tiêu lợi ích phát triển sẽ liên kết với nhau thành các tổ chức liên kết kinh tế đặc thù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được gọi là khu vực hóa.</w:t>
            </w:r>
          </w:p>
          <w:p w14:paraId="06AA7BB0" w14:textId="06EB362D" w:rsidR="00F74548" w:rsidRPr="00AE67FA" w:rsidRDefault="00F74548" w:rsidP="00AE67F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</w:pPr>
            <w:proofErr w:type="spellStart"/>
            <w:r w:rsidRPr="0052751A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en-GB"/>
                <w14:ligatures w14:val="none"/>
              </w:rPr>
              <w:t>Ví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en-GB"/>
                <w14:ligatures w14:val="none"/>
              </w:rPr>
              <w:t>dụ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b/>
                <w:kern w:val="0"/>
                <w:sz w:val="27"/>
                <w:szCs w:val="27"/>
                <w:lang w:eastAsia="en-GB"/>
                <w14:ligatures w14:val="none"/>
              </w:rPr>
              <w:t xml:space="preserve"> :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 Liên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Ma-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xơ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Rai-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Bỉ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- Đức - Hà Lan,…</w:t>
            </w:r>
          </w:p>
          <w:p w14:paraId="5557BC91" w14:textId="77777777" w:rsidR="00F74548" w:rsidRPr="0052751A" w:rsidRDefault="00F74548" w:rsidP="00F745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+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Ma-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xa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Rai-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ở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biên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hòa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Liên bang Đức,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Bỉ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Hà Lan.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có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diện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tích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khoảng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11000 km2 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số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dân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khoảng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4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triệu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người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(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năm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2021).</w:t>
            </w:r>
          </w:p>
          <w:p w14:paraId="21E9F845" w14:textId="77777777" w:rsidR="00F74548" w:rsidRPr="0052751A" w:rsidRDefault="00F74548" w:rsidP="00F745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+ Hằng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ngày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có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khoảng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43000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người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sang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giềng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làm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thống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khả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để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người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dân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thuận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.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học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3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đã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phối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đào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chung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nhằm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đáp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ứng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Một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số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hoạt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giao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lưu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cũng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chú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trọng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nhằm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đoàn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nhân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dân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vùng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  <w:p w14:paraId="3180A77D" w14:textId="4A030BB1" w:rsidR="00F4451D" w:rsidRPr="0052751A" w:rsidRDefault="00AE67FA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>b</w:t>
            </w:r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Hệ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quả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 </w:t>
            </w:r>
            <w:proofErr w:type="spellStart"/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t xml:space="preserve"> kinh tế</w:t>
            </w:r>
            <w:r w:rsidR="00F4451D" w:rsidRPr="0052751A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2FA64233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Các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trưởng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triển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do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thương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mại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tư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dịch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vụ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nhau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18466590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Lợi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ích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thành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được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bảo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đảm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5FB30048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Khu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mở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cửa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ở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tạo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lập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những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rộng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lớn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là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nền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tảng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giới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</w:t>
            </w:r>
          </w:p>
          <w:p w14:paraId="711EA21F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Tuy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xu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hướng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đặt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không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ít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vấn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đề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như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tính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chủ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về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vấn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đề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cạnh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tranh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,...</w:t>
            </w:r>
            <w:proofErr w:type="gramEnd"/>
          </w:p>
        </w:tc>
      </w:tr>
      <w:tr w:rsidR="00F4451D" w:rsidRPr="0052751A" w14:paraId="13EDAA04" w14:textId="77777777" w:rsidTr="00AE67FA"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5858C" w14:textId="62879B8B" w:rsidR="00F4451D" w:rsidRPr="00AE67FA" w:rsidRDefault="00AE67FA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val="vi-VN" w:eastAsia="en-GB"/>
                <w14:ligatures w14:val="none"/>
              </w:rPr>
              <w:lastRenderedPageBreak/>
              <w:t>c</w:t>
            </w:r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. Ý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nghĩa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kinh</w:t>
            </w:r>
            <w:proofErr w:type="spellEnd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="00F4451D" w:rsidRPr="00AE67F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tế</w:t>
            </w:r>
            <w:proofErr w:type="spellEnd"/>
          </w:p>
          <w:p w14:paraId="4D312F4A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Việc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tham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góp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phần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cường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hợp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liên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kết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giữa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nước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;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72F00525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vị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thế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,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vai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trò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mỗi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;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7D023F6B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Phát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huy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năng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quốc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trong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quá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trình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hiện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các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nhiệm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vụ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của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tổ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chức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khu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vực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;</w:t>
            </w:r>
            <w:proofErr w:type="gram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5A47EA20" w14:textId="77777777" w:rsidR="00F4451D" w:rsidRPr="0052751A" w:rsidRDefault="00F4451D" w:rsidP="005275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en-GB"/>
                <w14:ligatures w14:val="none"/>
              </w:rPr>
            </w:pPr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-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Thúc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đẩy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sự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tham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gia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vào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toàn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cầu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hoá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thuận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lợi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proofErr w:type="spellStart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hơn</w:t>
            </w:r>
            <w:proofErr w:type="spellEnd"/>
            <w:r w:rsidRPr="0052751A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</w:tr>
    </w:tbl>
    <w:p w14:paraId="1FA00D82" w14:textId="77777777" w:rsidR="0052751A" w:rsidRPr="0052751A" w:rsidRDefault="0052751A" w:rsidP="005275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en-GB"/>
          <w14:ligatures w14:val="none"/>
        </w:rPr>
      </w:pPr>
    </w:p>
    <w:sectPr w:rsidR="0052751A" w:rsidRPr="0052751A" w:rsidSect="00006AF5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8BD"/>
    <w:multiLevelType w:val="multilevel"/>
    <w:tmpl w:val="4B9E471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72235"/>
    <w:multiLevelType w:val="multilevel"/>
    <w:tmpl w:val="184C9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7A019A"/>
    <w:multiLevelType w:val="multilevel"/>
    <w:tmpl w:val="4E9E79B2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BC3C3B"/>
    <w:multiLevelType w:val="multilevel"/>
    <w:tmpl w:val="B1603C0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40460F"/>
    <w:multiLevelType w:val="multilevel"/>
    <w:tmpl w:val="C5EA535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141F3F"/>
    <w:multiLevelType w:val="multilevel"/>
    <w:tmpl w:val="C9A0B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F5135B"/>
    <w:multiLevelType w:val="multilevel"/>
    <w:tmpl w:val="9DA69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904E47"/>
    <w:multiLevelType w:val="multilevel"/>
    <w:tmpl w:val="7F4035F4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CF29B7"/>
    <w:multiLevelType w:val="multilevel"/>
    <w:tmpl w:val="3EB63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B50987"/>
    <w:multiLevelType w:val="multilevel"/>
    <w:tmpl w:val="7A242EA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A903C3"/>
    <w:multiLevelType w:val="multilevel"/>
    <w:tmpl w:val="E6328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F04EC1"/>
    <w:multiLevelType w:val="multilevel"/>
    <w:tmpl w:val="2BBE8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C617DC"/>
    <w:multiLevelType w:val="multilevel"/>
    <w:tmpl w:val="F4805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FE4763"/>
    <w:multiLevelType w:val="hybridMultilevel"/>
    <w:tmpl w:val="CCAC8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4305">
    <w:abstractNumId w:val="9"/>
  </w:num>
  <w:num w:numId="2" w16cid:durableId="1971739230">
    <w:abstractNumId w:val="2"/>
  </w:num>
  <w:num w:numId="3" w16cid:durableId="479663079">
    <w:abstractNumId w:val="3"/>
  </w:num>
  <w:num w:numId="4" w16cid:durableId="735976972">
    <w:abstractNumId w:val="0"/>
  </w:num>
  <w:num w:numId="5" w16cid:durableId="1666006574">
    <w:abstractNumId w:val="4"/>
  </w:num>
  <w:num w:numId="6" w16cid:durableId="803501372">
    <w:abstractNumId w:val="8"/>
  </w:num>
  <w:num w:numId="7" w16cid:durableId="1545368323">
    <w:abstractNumId w:val="11"/>
  </w:num>
  <w:num w:numId="8" w16cid:durableId="2042701313">
    <w:abstractNumId w:val="10"/>
  </w:num>
  <w:num w:numId="9" w16cid:durableId="967735639">
    <w:abstractNumId w:val="7"/>
  </w:num>
  <w:num w:numId="10" w16cid:durableId="1621065110">
    <w:abstractNumId w:val="5"/>
  </w:num>
  <w:num w:numId="11" w16cid:durableId="1006395891">
    <w:abstractNumId w:val="12"/>
  </w:num>
  <w:num w:numId="12" w16cid:durableId="1686708858">
    <w:abstractNumId w:val="1"/>
  </w:num>
  <w:num w:numId="13" w16cid:durableId="1822885001">
    <w:abstractNumId w:val="6"/>
  </w:num>
  <w:num w:numId="14" w16cid:durableId="1025864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1A"/>
    <w:rsid w:val="00006AF5"/>
    <w:rsid w:val="0052751A"/>
    <w:rsid w:val="009633BB"/>
    <w:rsid w:val="00AE67FA"/>
    <w:rsid w:val="00F4451D"/>
    <w:rsid w:val="00F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272E"/>
  <w15:chartTrackingRefBased/>
  <w15:docId w15:val="{6C0BC93D-0FC7-467E-9ECD-D5C1EA14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BÀI 3: TOÀN CẦU HOÁ, KHU VỰC HOÁ KINH TẾ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baotram781202@gmail.com</dc:creator>
  <cp:keywords/>
  <dc:description/>
  <cp:lastModifiedBy>baotram781202@gmail.com</cp:lastModifiedBy>
  <cp:revision>2</cp:revision>
  <dcterms:created xsi:type="dcterms:W3CDTF">2023-09-23T09:21:00Z</dcterms:created>
  <dcterms:modified xsi:type="dcterms:W3CDTF">2023-09-23T09:21:00Z</dcterms:modified>
</cp:coreProperties>
</file>